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>С 1 сентября 2024 года вносятся изменения в правила подключения объектов капитального строительства к централизованным системам горячего и холодного водоснабжения, водоотведения</w:t>
      </w:r>
    </w:p>
    <w:p>
      <w:pPr>
        <w:pStyle w:val="Normal"/>
        <w:bidi w:val="0"/>
        <w:spacing w:before="0" w:after="120"/>
        <w:ind w:hanging="0" w:start="0" w:end="720"/>
        <w:jc w:val="start"/>
        <w:rPr/>
      </w:pPr>
      <w:r>
        <w:rPr/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Постановлением Правительства Российской Федерации от 30.11.2023 №2038 «О внесении изменений в некоторые акты Правительства Российской Федерации» внесены изменения в правила подключения объектов капитального строительства к централизованным системам горячего и холодного водоснабжения, водоотведения.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В частности, уточнены порядок подачи комплексной заявки на подключение, порядок заключения договора о подключении, порядок определения платы за подключение, установлены условия подключения (технологического присоединения) в случаях подачи самостоятельных заявок несколькими заявителями.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Так, уполномоченный федеральный орган исполнительной власти, исполнительный орган субъекта Российской Федерации, орган местного самоуправления, утвердивший комплексную схему инженерного обеспечения территории, вправе подать комплексную заявку на подключение к централизованным системам горячего водоснабжения, холодного водоснабжения и (или) водоотведения в пределах нагрузки, определенной в указанной схеме.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При поступлении комплексной заявки на подключение исполнитель обращается в орган регулирования тарифов за установлением платы за подключение в индивидуальном порядке.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Плата за подключение по договору о подключении, указанном в абзаце третьем настоящего пункта, в части расходов, связанных с выполнением общих мероприятий по созданию и (или) реконструкции объектов горячего водоснабжения, холодного водоснабжения и (или) водоотведения, обеспечивающих техническую возможность подключения, распределяется с учетом доли подключаемой мощности (нагрузки) в общей подключаемой мощности (нагрузке), указанной в договоре о подключении, а в части иных расходов подлежит отнесению на того заявителя, для подключения объектов которого исполнитель понес такие расходы.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>
          <w:color w:val="000000"/>
        </w:rPr>
        <w:t>Изменения </w:t>
      </w:r>
      <w:r>
        <w:rPr>
          <w:color w:val="000000"/>
          <w:shd w:fill="FFFFFF" w:val="clear"/>
        </w:rPr>
        <w:t>вступают в силу с 1 сентября 2024 года.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LibreOffice/24.2.0.3$Linux_X86_64 LibreOffice_project/420$Build-3</Application>
  <AppVersion>15.0000</AppVersion>
  <Pages>1</Pages>
  <Words>229</Words>
  <Characters>1751</Characters>
  <CharactersWithSpaces>1973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2024-02-11T00:56:36Z</dcterms:created>
  <dc:creator/>
  <dc:description/>
  <dc:language>ru-RU</dc:language>
  <cp:lastModifiedBy/>
  <dcterms:modified xsi:type="dcterms:W3CDTF">2024-02-11T00:56:47Z</dcterms:modified>
  <cp:revision>1</cp:revision>
  <dc:subject/>
  <dc:title/>
</cp:coreProperties>
</file>